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EE" w:rsidRPr="002616EB" w:rsidRDefault="003613EE" w:rsidP="002616EB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Trebuchet MS" w:hAnsi="Trebuchet MS" w:cs="Arial"/>
        </w:rPr>
      </w:pPr>
      <w:r w:rsidRPr="002616EB">
        <w:rPr>
          <w:rFonts w:ascii="Trebuchet MS" w:hAnsi="Trebuchet MS" w:cs="Arial"/>
        </w:rPr>
        <w:t xml:space="preserve">INDICADORES DE EVALUACIÓN INICIAL DE PRIMERO </w:t>
      </w:r>
    </w:p>
    <w:p w:rsidR="003613EE" w:rsidRPr="002616EB" w:rsidRDefault="003613EE" w:rsidP="002616EB">
      <w:pPr>
        <w:pBdr>
          <w:bottom w:val="single" w:sz="4" w:space="1" w:color="auto"/>
        </w:pBdr>
        <w:shd w:val="clear" w:color="auto" w:fill="BFBFBF" w:themeFill="background1" w:themeFillShade="BF"/>
        <w:jc w:val="center"/>
        <w:rPr>
          <w:rFonts w:ascii="Trebuchet MS" w:hAnsi="Trebuchet MS" w:cs="Arial"/>
        </w:rPr>
      </w:pPr>
      <w:r w:rsidRPr="002616EB">
        <w:rPr>
          <w:rFonts w:ascii="Trebuchet MS" w:hAnsi="Trebuchet MS" w:cs="Arial"/>
        </w:rPr>
        <w:t>DE EDUCACIÓN PRIMARIA</w:t>
      </w:r>
    </w:p>
    <w:p w:rsidR="003613EE" w:rsidRPr="002616EB" w:rsidRDefault="003613EE" w:rsidP="002616EB">
      <w:pPr>
        <w:jc w:val="center"/>
        <w:rPr>
          <w:rFonts w:ascii="Trebuchet MS" w:hAnsi="Trebuchet MS" w:cs="Arial"/>
        </w:rPr>
      </w:pPr>
    </w:p>
    <w:tbl>
      <w:tblPr>
        <w:tblW w:w="954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200"/>
        <w:gridCol w:w="780"/>
        <w:gridCol w:w="780"/>
        <w:gridCol w:w="780"/>
      </w:tblGrid>
      <w:tr w:rsidR="003613EE" w:rsidRPr="002616EB" w:rsidTr="002616EB">
        <w:tc>
          <w:tcPr>
            <w:tcW w:w="7200" w:type="dxa"/>
          </w:tcPr>
          <w:p w:rsidR="003613EE" w:rsidRPr="002616EB" w:rsidRDefault="003613EE" w:rsidP="002616EB">
            <w:pPr>
              <w:jc w:val="both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780" w:type="dxa"/>
            <w:tcBorders>
              <w:bottom w:val="single" w:sz="12" w:space="0" w:color="000000" w:themeColor="text1"/>
            </w:tcBorders>
          </w:tcPr>
          <w:p w:rsidR="003613EE" w:rsidRPr="002616EB" w:rsidRDefault="003613EE" w:rsidP="002616EB">
            <w:pPr>
              <w:jc w:val="center"/>
              <w:rPr>
                <w:rFonts w:ascii="Trebuchet MS" w:hAnsi="Trebuchet MS" w:cs="Arial"/>
              </w:rPr>
            </w:pPr>
          </w:p>
          <w:p w:rsidR="003613EE" w:rsidRPr="002616EB" w:rsidRDefault="003613EE" w:rsidP="002616EB">
            <w:pPr>
              <w:jc w:val="center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C</w:t>
            </w:r>
            <w:r w:rsidRPr="002616EB">
              <w:rPr>
                <w:rStyle w:val="Refdenotaalpie"/>
                <w:rFonts w:ascii="Trebuchet MS" w:hAnsi="Trebuchet MS" w:cs="Arial"/>
                <w:szCs w:val="22"/>
              </w:rPr>
              <w:footnoteReference w:id="1"/>
            </w:r>
          </w:p>
        </w:tc>
        <w:tc>
          <w:tcPr>
            <w:tcW w:w="780" w:type="dxa"/>
            <w:tcBorders>
              <w:bottom w:val="single" w:sz="12" w:space="0" w:color="000000" w:themeColor="text1"/>
            </w:tcBorders>
            <w:vAlign w:val="bottom"/>
          </w:tcPr>
          <w:p w:rsidR="003613EE" w:rsidRPr="002616EB" w:rsidRDefault="003613EE" w:rsidP="002616EB">
            <w:pPr>
              <w:jc w:val="center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EP</w:t>
            </w:r>
          </w:p>
        </w:tc>
        <w:tc>
          <w:tcPr>
            <w:tcW w:w="780" w:type="dxa"/>
            <w:tcBorders>
              <w:bottom w:val="single" w:sz="12" w:space="0" w:color="000000" w:themeColor="text1"/>
            </w:tcBorders>
          </w:tcPr>
          <w:p w:rsidR="003613EE" w:rsidRPr="002616EB" w:rsidRDefault="003613EE" w:rsidP="002616EB">
            <w:pPr>
              <w:jc w:val="center"/>
              <w:rPr>
                <w:rFonts w:ascii="Trebuchet MS" w:hAnsi="Trebuchet MS" w:cs="Arial"/>
              </w:rPr>
            </w:pPr>
          </w:p>
          <w:p w:rsidR="003613EE" w:rsidRPr="002616EB" w:rsidRDefault="003613EE" w:rsidP="002616EB">
            <w:pPr>
              <w:jc w:val="center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IN</w:t>
            </w: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Tiene adquiridos hábitos de limpieza, orden, trabajo y cuidado de materiales.</w:t>
            </w:r>
          </w:p>
        </w:tc>
        <w:tc>
          <w:tcPr>
            <w:tcW w:w="7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Representa gráficamente el esquema corporal completo.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Participa en actividades</w:t>
            </w:r>
            <w:bookmarkStart w:id="0" w:name="_GoBack"/>
            <w:bookmarkEnd w:id="0"/>
            <w:r w:rsidRPr="002616EB">
              <w:rPr>
                <w:rFonts w:ascii="Trebuchet MS" w:hAnsi="Trebuchet MS" w:cs="Arial"/>
                <w:szCs w:val="22"/>
              </w:rPr>
              <w:t xml:space="preserve"> colectivas respetando las reglas.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Muestra actitudes de respeto y ayuda mutua con sus iguales.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Muestra destreza en las actividades dígito-manuales (picar, recortar, colorear, rasgar,…), de la vida diaria (cremalleras, botones, cordones,…) y utiliza correctamente los útiles de trabajo.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Presenta buena motricidad gruesa y en el equilibrio.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Es capaz de ordenar secuencias temporales cotidianas.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Reconoce, cuenta y realiza el trazo de la numeración básica.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</w:rPr>
              <w:t>Clasifica y compara objetos según su forma, color, tamaño, textura,…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</w:rPr>
              <w:t>Reconoce y utiliza nociones básicas de medida, cuantificadores y nociones espaciales.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Tiene conocimientos básicos relacionados con su entorno (familia, animales, medios de transporte, plantas, costumbres y tradiciones culturales).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Comprende mensajes orales diversos (narraciones, exposiciones y explicaciones).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Se expresa correctamente y comparte sus vivencias, de manera que mantiene una comunicación positiva con sus iguales.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Sabe guardar el turno de palabra, mantener el tema, escuchar atentamente y aceptar las diferentes opiniones.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Tiene el vocabulario adecuado a su edad.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Realiza correctamente el trazo de vocales y consonantes.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Utiliza la lectura como medio de comunicación, de información y disfrute.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  <w:tr w:rsidR="003613EE" w:rsidRPr="002616EB" w:rsidTr="002616EB">
        <w:tc>
          <w:tcPr>
            <w:tcW w:w="7200" w:type="dxa"/>
            <w:tcBorders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numPr>
                <w:ilvl w:val="0"/>
                <w:numId w:val="10"/>
              </w:numPr>
              <w:spacing w:beforeLines="20" w:before="48" w:afterLines="20" w:after="48"/>
              <w:jc w:val="both"/>
              <w:rPr>
                <w:rFonts w:ascii="Trebuchet MS" w:hAnsi="Trebuchet MS" w:cs="Arial"/>
              </w:rPr>
            </w:pPr>
            <w:r w:rsidRPr="002616EB">
              <w:rPr>
                <w:rFonts w:ascii="Trebuchet MS" w:hAnsi="Trebuchet MS" w:cs="Arial"/>
                <w:szCs w:val="22"/>
              </w:rPr>
              <w:t>Comprende y expresa de forma sencilla palabras de uso cotidiano en lengua extranjera.</w:t>
            </w: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7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3613EE" w:rsidRPr="002616EB" w:rsidRDefault="003613EE" w:rsidP="002616EB">
            <w:pPr>
              <w:spacing w:beforeLines="20" w:before="48" w:afterLines="20" w:after="48"/>
              <w:jc w:val="center"/>
              <w:rPr>
                <w:rFonts w:ascii="Trebuchet MS" w:hAnsi="Trebuchet MS" w:cs="Arial"/>
              </w:rPr>
            </w:pPr>
          </w:p>
        </w:tc>
      </w:tr>
    </w:tbl>
    <w:p w:rsidR="003613EE" w:rsidRPr="002616EB" w:rsidRDefault="003613EE" w:rsidP="002616EB">
      <w:pPr>
        <w:jc w:val="both"/>
        <w:rPr>
          <w:rFonts w:ascii="Trebuchet MS" w:hAnsi="Trebuchet MS" w:cs="Arial"/>
        </w:rPr>
      </w:pPr>
    </w:p>
    <w:sectPr w:rsidR="003613EE" w:rsidRPr="002616EB" w:rsidSect="00CF2ED3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A93" w:rsidRDefault="00FE6A93" w:rsidP="00AC021B">
      <w:r>
        <w:separator/>
      </w:r>
    </w:p>
  </w:endnote>
  <w:endnote w:type="continuationSeparator" w:id="0">
    <w:p w:rsidR="00FE6A93" w:rsidRDefault="00FE6A93" w:rsidP="00AC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A93" w:rsidRDefault="00FE6A93" w:rsidP="00AC021B">
      <w:r>
        <w:separator/>
      </w:r>
    </w:p>
  </w:footnote>
  <w:footnote w:type="continuationSeparator" w:id="0">
    <w:p w:rsidR="00FE6A93" w:rsidRDefault="00FE6A93" w:rsidP="00AC021B">
      <w:r>
        <w:continuationSeparator/>
      </w:r>
    </w:p>
  </w:footnote>
  <w:footnote w:id="1">
    <w:p w:rsidR="003613EE" w:rsidRDefault="003613EE">
      <w:pPr>
        <w:pStyle w:val="Textonotapie"/>
      </w:pPr>
      <w:r w:rsidRPr="001333C4">
        <w:rPr>
          <w:rStyle w:val="Refdenotaalpie"/>
          <w:rFonts w:ascii="Arial" w:hAnsi="Arial" w:cs="Arial"/>
          <w:sz w:val="16"/>
          <w:szCs w:val="16"/>
        </w:rPr>
        <w:footnoteRef/>
      </w:r>
      <w:r w:rsidRPr="001333C4">
        <w:rPr>
          <w:rFonts w:ascii="Arial" w:hAnsi="Arial" w:cs="Arial"/>
          <w:sz w:val="16"/>
          <w:szCs w:val="16"/>
        </w:rPr>
        <w:t xml:space="preserve"> Conseguido (C)</w:t>
      </w:r>
      <w:proofErr w:type="gramStart"/>
      <w:r w:rsidRPr="001333C4">
        <w:rPr>
          <w:rFonts w:ascii="Arial" w:hAnsi="Arial" w:cs="Arial"/>
          <w:sz w:val="16"/>
          <w:szCs w:val="16"/>
        </w:rPr>
        <w:t>,;</w:t>
      </w:r>
      <w:proofErr w:type="gramEnd"/>
      <w:r w:rsidRPr="001333C4">
        <w:rPr>
          <w:rFonts w:ascii="Arial" w:hAnsi="Arial" w:cs="Arial"/>
          <w:sz w:val="16"/>
          <w:szCs w:val="16"/>
        </w:rPr>
        <w:t xml:space="preserve"> en proceso (EP); o iniciado (IN).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EB" w:rsidRDefault="002616EB">
    <w:pPr>
      <w:pStyle w:val="Encabezado"/>
    </w:pPr>
  </w:p>
  <w:tbl>
    <w:tblPr>
      <w:tblW w:w="9553" w:type="dxa"/>
      <w:jc w:val="center"/>
      <w:tblInd w:w="108" w:type="dxa"/>
      <w:tblLook w:val="01E0" w:firstRow="1" w:lastRow="1" w:firstColumn="1" w:lastColumn="1" w:noHBand="0" w:noVBand="0"/>
    </w:tblPr>
    <w:tblGrid>
      <w:gridCol w:w="853"/>
      <w:gridCol w:w="2368"/>
      <w:gridCol w:w="2259"/>
      <w:gridCol w:w="2927"/>
      <w:gridCol w:w="1146"/>
    </w:tblGrid>
    <w:tr w:rsidR="002616EB" w:rsidRPr="002616EB" w:rsidTr="000A15FD">
      <w:trPr>
        <w:trHeight w:val="408"/>
        <w:jc w:val="center"/>
      </w:trPr>
      <w:tc>
        <w:tcPr>
          <w:tcW w:w="853" w:type="dxa"/>
          <w:shd w:val="clear" w:color="auto" w:fill="auto"/>
        </w:tcPr>
        <w:p w:rsidR="002616EB" w:rsidRPr="002616EB" w:rsidRDefault="002616EB" w:rsidP="000A15FD">
          <w:pPr>
            <w:pStyle w:val="Encabezado"/>
            <w:rPr>
              <w:rFonts w:ascii="Trebuchet MS" w:hAnsi="Trebuchet MS"/>
              <w:sz w:val="16"/>
              <w:szCs w:val="16"/>
            </w:rPr>
          </w:pPr>
          <w:r w:rsidRPr="002616EB">
            <w:rPr>
              <w:rFonts w:ascii="Trebuchet MS" w:hAnsi="Trebuchet MS"/>
              <w:noProof/>
              <w:sz w:val="16"/>
              <w:szCs w:val="16"/>
              <w:lang w:val="es-ES"/>
            </w:rPr>
            <w:drawing>
              <wp:inline distT="0" distB="0" distL="0" distR="0" wp14:anchorId="06580A34" wp14:editId="7A8C2B27">
                <wp:extent cx="404495" cy="671830"/>
                <wp:effectExtent l="0" t="0" r="0" b="0"/>
                <wp:docPr id="2" name="Imagen 2" descr="LOGO-REG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REGI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449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2" w:type="dxa"/>
          <w:shd w:val="clear" w:color="auto" w:fill="auto"/>
        </w:tcPr>
        <w:p w:rsidR="002616EB" w:rsidRPr="002616EB" w:rsidRDefault="002616EB" w:rsidP="000A15FD">
          <w:pPr>
            <w:pStyle w:val="Encabezado"/>
            <w:jc w:val="center"/>
            <w:rPr>
              <w:rFonts w:ascii="Trebuchet MS" w:hAnsi="Trebuchet MS"/>
              <w:sz w:val="16"/>
              <w:szCs w:val="16"/>
            </w:rPr>
          </w:pPr>
        </w:p>
        <w:p w:rsidR="002616EB" w:rsidRPr="002616EB" w:rsidRDefault="002616EB" w:rsidP="000A15FD">
          <w:pPr>
            <w:pStyle w:val="Encabezado"/>
            <w:jc w:val="center"/>
            <w:rPr>
              <w:rFonts w:ascii="Trebuchet MS" w:hAnsi="Trebuchet MS"/>
              <w:b/>
              <w:sz w:val="16"/>
              <w:szCs w:val="16"/>
            </w:rPr>
          </w:pPr>
          <w:r w:rsidRPr="002616EB">
            <w:rPr>
              <w:rFonts w:ascii="Trebuchet MS" w:hAnsi="Trebuchet MS"/>
              <w:b/>
              <w:sz w:val="16"/>
              <w:szCs w:val="16"/>
            </w:rPr>
            <w:t xml:space="preserve">Región de Murcia </w:t>
          </w:r>
        </w:p>
        <w:p w:rsidR="002616EB" w:rsidRPr="002616EB" w:rsidRDefault="002616EB" w:rsidP="000A15FD">
          <w:pPr>
            <w:pStyle w:val="Encabezado"/>
            <w:jc w:val="center"/>
            <w:rPr>
              <w:rFonts w:ascii="Trebuchet MS" w:hAnsi="Trebuchet MS"/>
              <w:sz w:val="16"/>
              <w:szCs w:val="16"/>
            </w:rPr>
          </w:pPr>
          <w:r w:rsidRPr="002616EB">
            <w:rPr>
              <w:rFonts w:ascii="Trebuchet MS" w:hAnsi="Trebuchet MS"/>
              <w:sz w:val="16"/>
              <w:szCs w:val="16"/>
            </w:rPr>
            <w:t>Consejería de Educación, Cultura y Universidades</w:t>
          </w:r>
        </w:p>
      </w:tc>
      <w:tc>
        <w:tcPr>
          <w:tcW w:w="2267" w:type="dxa"/>
          <w:shd w:val="clear" w:color="auto" w:fill="auto"/>
        </w:tcPr>
        <w:p w:rsidR="002616EB" w:rsidRPr="002616EB" w:rsidRDefault="002616EB" w:rsidP="000A15FD">
          <w:pPr>
            <w:pStyle w:val="Encabezado"/>
            <w:jc w:val="center"/>
            <w:rPr>
              <w:rFonts w:ascii="Trebuchet MS" w:hAnsi="Trebuchet MS"/>
              <w:sz w:val="16"/>
              <w:szCs w:val="16"/>
            </w:rPr>
          </w:pPr>
          <w:r w:rsidRPr="002616EB">
            <w:rPr>
              <w:rFonts w:ascii="Trebuchet MS" w:hAnsi="Trebuchet MS"/>
              <w:noProof/>
              <w:lang w:val="es-ES"/>
            </w:rPr>
            <w:drawing>
              <wp:anchor distT="0" distB="0" distL="114300" distR="114300" simplePos="0" relativeHeight="251659264" behindDoc="0" locked="0" layoutInCell="1" allowOverlap="1" wp14:anchorId="6E607532" wp14:editId="057CECF0">
                <wp:simplePos x="0" y="0"/>
                <wp:positionH relativeFrom="column">
                  <wp:posOffset>65405</wp:posOffset>
                </wp:positionH>
                <wp:positionV relativeFrom="paragraph">
                  <wp:posOffset>109220</wp:posOffset>
                </wp:positionV>
                <wp:extent cx="1209675" cy="504825"/>
                <wp:effectExtent l="0" t="0" r="9525" b="9525"/>
                <wp:wrapNone/>
                <wp:docPr id="3" name="Imagen 3" descr="LOGO-BILING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BILING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30" w:type="dxa"/>
          <w:shd w:val="clear" w:color="auto" w:fill="auto"/>
        </w:tcPr>
        <w:p w:rsidR="002616EB" w:rsidRPr="002616EB" w:rsidRDefault="002616EB" w:rsidP="000A15FD">
          <w:pPr>
            <w:pStyle w:val="Encabezado"/>
            <w:jc w:val="center"/>
            <w:rPr>
              <w:rFonts w:ascii="Trebuchet MS" w:hAnsi="Trebuchet MS"/>
              <w:sz w:val="16"/>
              <w:szCs w:val="16"/>
            </w:rPr>
          </w:pPr>
          <w:r w:rsidRPr="002616EB">
            <w:rPr>
              <w:rFonts w:ascii="Trebuchet MS" w:hAnsi="Trebuchet MS"/>
              <w:sz w:val="16"/>
              <w:szCs w:val="16"/>
            </w:rPr>
            <w:t>CE INF-PRI Ntra. Sra. de los Ángeles</w:t>
          </w:r>
        </w:p>
        <w:p w:rsidR="002616EB" w:rsidRPr="002616EB" w:rsidRDefault="002616EB" w:rsidP="000A15FD">
          <w:pPr>
            <w:pStyle w:val="Encabezado"/>
            <w:jc w:val="center"/>
            <w:rPr>
              <w:rFonts w:ascii="Trebuchet MS" w:hAnsi="Trebuchet MS"/>
              <w:sz w:val="16"/>
              <w:szCs w:val="16"/>
            </w:rPr>
          </w:pPr>
          <w:r w:rsidRPr="002616EB">
            <w:rPr>
              <w:rFonts w:ascii="Trebuchet MS" w:hAnsi="Trebuchet MS"/>
              <w:sz w:val="16"/>
              <w:szCs w:val="16"/>
            </w:rPr>
            <w:t>C/Limonar s/n 30163</w:t>
          </w:r>
        </w:p>
        <w:p w:rsidR="002616EB" w:rsidRPr="002616EB" w:rsidRDefault="002616EB" w:rsidP="000A15FD">
          <w:pPr>
            <w:pStyle w:val="Encabezado"/>
            <w:jc w:val="center"/>
            <w:rPr>
              <w:rFonts w:ascii="Trebuchet MS" w:hAnsi="Trebuchet MS"/>
              <w:sz w:val="16"/>
              <w:szCs w:val="16"/>
            </w:rPr>
          </w:pPr>
          <w:r w:rsidRPr="002616EB">
            <w:rPr>
              <w:rFonts w:ascii="Trebuchet MS" w:hAnsi="Trebuchet MS"/>
              <w:sz w:val="16"/>
              <w:szCs w:val="16"/>
            </w:rPr>
            <w:t>El Esparragal (Murcia)</w:t>
          </w:r>
        </w:p>
        <w:p w:rsidR="002616EB" w:rsidRPr="002616EB" w:rsidRDefault="002616EB" w:rsidP="000A15FD">
          <w:pPr>
            <w:pStyle w:val="Encabezado"/>
            <w:jc w:val="center"/>
            <w:rPr>
              <w:rFonts w:ascii="Trebuchet MS" w:hAnsi="Trebuchet MS"/>
              <w:sz w:val="16"/>
              <w:szCs w:val="16"/>
            </w:rPr>
          </w:pPr>
          <w:proofErr w:type="spellStart"/>
          <w:r w:rsidRPr="002616EB">
            <w:rPr>
              <w:rFonts w:ascii="Trebuchet MS" w:hAnsi="Trebuchet MS"/>
              <w:sz w:val="16"/>
              <w:szCs w:val="16"/>
            </w:rPr>
            <w:t>Tlf</w:t>
          </w:r>
          <w:proofErr w:type="spellEnd"/>
          <w:r w:rsidRPr="002616EB">
            <w:rPr>
              <w:rFonts w:ascii="Trebuchet MS" w:hAnsi="Trebuchet MS"/>
              <w:sz w:val="16"/>
              <w:szCs w:val="16"/>
            </w:rPr>
            <w:t xml:space="preserve">. y fax. 968850084 </w:t>
          </w:r>
        </w:p>
        <w:p w:rsidR="002616EB" w:rsidRPr="002616EB" w:rsidRDefault="002616EB" w:rsidP="000A15FD">
          <w:pPr>
            <w:pStyle w:val="Encabezado"/>
            <w:jc w:val="center"/>
            <w:rPr>
              <w:rFonts w:ascii="Trebuchet MS" w:hAnsi="Trebuchet MS"/>
              <w:sz w:val="16"/>
              <w:szCs w:val="16"/>
            </w:rPr>
          </w:pPr>
          <w:r w:rsidRPr="002616EB">
            <w:rPr>
              <w:rFonts w:ascii="Trebuchet MS" w:hAnsi="Trebuchet MS"/>
              <w:sz w:val="16"/>
              <w:szCs w:val="16"/>
            </w:rPr>
            <w:t>e-mail: 30005193@murciaeduca.es</w:t>
          </w:r>
        </w:p>
        <w:p w:rsidR="002616EB" w:rsidRPr="002616EB" w:rsidRDefault="002616EB" w:rsidP="000A15FD">
          <w:pPr>
            <w:pStyle w:val="Encabezado"/>
            <w:jc w:val="center"/>
            <w:rPr>
              <w:rFonts w:ascii="Trebuchet MS" w:hAnsi="Trebuchet MS"/>
              <w:sz w:val="16"/>
              <w:szCs w:val="16"/>
            </w:rPr>
          </w:pPr>
          <w:r w:rsidRPr="002616EB">
            <w:rPr>
              <w:rFonts w:ascii="Trebuchet MS" w:hAnsi="Trebuchet MS"/>
              <w:sz w:val="16"/>
              <w:szCs w:val="16"/>
            </w:rPr>
            <w:t>www.ceip-nsangeles.com</w:t>
          </w:r>
        </w:p>
      </w:tc>
      <w:tc>
        <w:tcPr>
          <w:tcW w:w="1131" w:type="dxa"/>
          <w:shd w:val="clear" w:color="auto" w:fill="auto"/>
        </w:tcPr>
        <w:p w:rsidR="002616EB" w:rsidRPr="002616EB" w:rsidRDefault="002616EB" w:rsidP="000A15FD">
          <w:pPr>
            <w:pStyle w:val="Encabezado"/>
            <w:rPr>
              <w:rFonts w:ascii="Trebuchet MS" w:hAnsi="Trebuchet MS"/>
              <w:sz w:val="16"/>
              <w:szCs w:val="16"/>
            </w:rPr>
          </w:pPr>
          <w:r w:rsidRPr="002616EB">
            <w:rPr>
              <w:rFonts w:ascii="Trebuchet MS" w:hAnsi="Trebuchet MS"/>
              <w:noProof/>
              <w:sz w:val="16"/>
              <w:szCs w:val="16"/>
              <w:lang w:val="es-ES"/>
            </w:rPr>
            <w:drawing>
              <wp:inline distT="0" distB="0" distL="0" distR="0" wp14:anchorId="249A6AB6" wp14:editId="52FC9272">
                <wp:extent cx="582930" cy="679450"/>
                <wp:effectExtent l="0" t="0" r="7620" b="6350"/>
                <wp:docPr id="1" name="Imagen 1" descr="LOGO-C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C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930" cy="67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616EB" w:rsidRPr="002616EB" w:rsidRDefault="002616EB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603C7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C885421"/>
    <w:multiLevelType w:val="hybridMultilevel"/>
    <w:tmpl w:val="71D6B3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21500D"/>
    <w:multiLevelType w:val="hybridMultilevel"/>
    <w:tmpl w:val="6C82296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3273F3"/>
    <w:multiLevelType w:val="multilevel"/>
    <w:tmpl w:val="F394F6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3ED0C2B"/>
    <w:multiLevelType w:val="multilevel"/>
    <w:tmpl w:val="F394F6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B6C29C4"/>
    <w:multiLevelType w:val="hybridMultilevel"/>
    <w:tmpl w:val="BF58416E"/>
    <w:lvl w:ilvl="0" w:tplc="D7DEDBF4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69967208"/>
    <w:multiLevelType w:val="hybridMultilevel"/>
    <w:tmpl w:val="44DAB5E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35A18F2"/>
    <w:multiLevelType w:val="hybridMultilevel"/>
    <w:tmpl w:val="4A9A77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715974"/>
    <w:multiLevelType w:val="hybridMultilevel"/>
    <w:tmpl w:val="18BA0918"/>
    <w:lvl w:ilvl="0" w:tplc="0C0A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>
    <w:nsid w:val="77D741C2"/>
    <w:multiLevelType w:val="hybridMultilevel"/>
    <w:tmpl w:val="E2406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F95F03"/>
    <w:multiLevelType w:val="multilevel"/>
    <w:tmpl w:val="F394F6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1B"/>
    <w:rsid w:val="00012ECC"/>
    <w:rsid w:val="00052359"/>
    <w:rsid w:val="00054DA2"/>
    <w:rsid w:val="00086B73"/>
    <w:rsid w:val="000B2064"/>
    <w:rsid w:val="000C3DDB"/>
    <w:rsid w:val="000D094C"/>
    <w:rsid w:val="000D33FD"/>
    <w:rsid w:val="000D7727"/>
    <w:rsid w:val="000F226F"/>
    <w:rsid w:val="001019AD"/>
    <w:rsid w:val="001333C4"/>
    <w:rsid w:val="0015331F"/>
    <w:rsid w:val="001B54F8"/>
    <w:rsid w:val="001C25F6"/>
    <w:rsid w:val="001C7C0F"/>
    <w:rsid w:val="00251307"/>
    <w:rsid w:val="002616EB"/>
    <w:rsid w:val="00263D61"/>
    <w:rsid w:val="00286EDF"/>
    <w:rsid w:val="002E3948"/>
    <w:rsid w:val="002F5465"/>
    <w:rsid w:val="00315A54"/>
    <w:rsid w:val="00335C9C"/>
    <w:rsid w:val="003613EE"/>
    <w:rsid w:val="00363BB4"/>
    <w:rsid w:val="0038080B"/>
    <w:rsid w:val="00396A07"/>
    <w:rsid w:val="00411104"/>
    <w:rsid w:val="00431077"/>
    <w:rsid w:val="00480119"/>
    <w:rsid w:val="004B5E68"/>
    <w:rsid w:val="004C39E1"/>
    <w:rsid w:val="004C430F"/>
    <w:rsid w:val="00506D40"/>
    <w:rsid w:val="00521322"/>
    <w:rsid w:val="00521CF4"/>
    <w:rsid w:val="00530DA9"/>
    <w:rsid w:val="005950B4"/>
    <w:rsid w:val="005A07D0"/>
    <w:rsid w:val="005A2AA5"/>
    <w:rsid w:val="006048F9"/>
    <w:rsid w:val="006165B1"/>
    <w:rsid w:val="006236BF"/>
    <w:rsid w:val="00690573"/>
    <w:rsid w:val="006A25F3"/>
    <w:rsid w:val="006A6B6E"/>
    <w:rsid w:val="00721871"/>
    <w:rsid w:val="007466CD"/>
    <w:rsid w:val="0075018E"/>
    <w:rsid w:val="00760403"/>
    <w:rsid w:val="00796AB4"/>
    <w:rsid w:val="007D2CE7"/>
    <w:rsid w:val="00805689"/>
    <w:rsid w:val="008070C9"/>
    <w:rsid w:val="00882284"/>
    <w:rsid w:val="008E596F"/>
    <w:rsid w:val="008F11C0"/>
    <w:rsid w:val="008F6881"/>
    <w:rsid w:val="00905D2D"/>
    <w:rsid w:val="009477D3"/>
    <w:rsid w:val="009539C4"/>
    <w:rsid w:val="00961D6F"/>
    <w:rsid w:val="0096320D"/>
    <w:rsid w:val="00963788"/>
    <w:rsid w:val="009727C2"/>
    <w:rsid w:val="00993D0D"/>
    <w:rsid w:val="009C01B8"/>
    <w:rsid w:val="009C3D0B"/>
    <w:rsid w:val="009D0731"/>
    <w:rsid w:val="00A01C96"/>
    <w:rsid w:val="00A95D5F"/>
    <w:rsid w:val="00A97654"/>
    <w:rsid w:val="00AA33C1"/>
    <w:rsid w:val="00AB58C2"/>
    <w:rsid w:val="00AC021B"/>
    <w:rsid w:val="00AC0489"/>
    <w:rsid w:val="00AE1BAA"/>
    <w:rsid w:val="00AF0508"/>
    <w:rsid w:val="00B0774A"/>
    <w:rsid w:val="00B41EB2"/>
    <w:rsid w:val="00B5317E"/>
    <w:rsid w:val="00B544ED"/>
    <w:rsid w:val="00B62456"/>
    <w:rsid w:val="00B90C77"/>
    <w:rsid w:val="00BB16DE"/>
    <w:rsid w:val="00BE4FB0"/>
    <w:rsid w:val="00C0689D"/>
    <w:rsid w:val="00C11973"/>
    <w:rsid w:val="00C15334"/>
    <w:rsid w:val="00C35371"/>
    <w:rsid w:val="00C35573"/>
    <w:rsid w:val="00C87A62"/>
    <w:rsid w:val="00C96281"/>
    <w:rsid w:val="00C976CB"/>
    <w:rsid w:val="00CA5B67"/>
    <w:rsid w:val="00CA5CB1"/>
    <w:rsid w:val="00CA5E51"/>
    <w:rsid w:val="00CF2ED3"/>
    <w:rsid w:val="00CF36D1"/>
    <w:rsid w:val="00D17C72"/>
    <w:rsid w:val="00D2040B"/>
    <w:rsid w:val="00DA0387"/>
    <w:rsid w:val="00DA0EC4"/>
    <w:rsid w:val="00DA260C"/>
    <w:rsid w:val="00DA5E1A"/>
    <w:rsid w:val="00DC224D"/>
    <w:rsid w:val="00DC7600"/>
    <w:rsid w:val="00DD2015"/>
    <w:rsid w:val="00E04147"/>
    <w:rsid w:val="00E50561"/>
    <w:rsid w:val="00E77899"/>
    <w:rsid w:val="00E7796F"/>
    <w:rsid w:val="00EA3903"/>
    <w:rsid w:val="00EB3BF5"/>
    <w:rsid w:val="00EC59B3"/>
    <w:rsid w:val="00ED6881"/>
    <w:rsid w:val="00ED7BC5"/>
    <w:rsid w:val="00EF693D"/>
    <w:rsid w:val="00F412CA"/>
    <w:rsid w:val="00F433AF"/>
    <w:rsid w:val="00F82EB6"/>
    <w:rsid w:val="00F84030"/>
    <w:rsid w:val="00F86C26"/>
    <w:rsid w:val="00FD03E0"/>
    <w:rsid w:val="00FE6A93"/>
    <w:rsid w:val="00FE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1B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99"/>
    <w:rsid w:val="00AC021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AC021B"/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AC021B"/>
    <w:rPr>
      <w:rFonts w:cs="Times New Roman"/>
    </w:rPr>
  </w:style>
  <w:style w:type="character" w:styleId="Refdenotaalpie">
    <w:name w:val="footnote reference"/>
    <w:basedOn w:val="Fuentedeprrafopredeter"/>
    <w:uiPriority w:val="99"/>
    <w:rsid w:val="00AC021B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6905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96320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9632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96320D"/>
    <w:rPr>
      <w:rFonts w:cs="Times New Roman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632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6320D"/>
    <w:rPr>
      <w:rFonts w:cs="Times New Roman"/>
      <w:b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6320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6320D"/>
    <w:rPr>
      <w:rFonts w:ascii="Tahoma" w:hAnsi="Tahoma" w:cs="Times New Roman"/>
      <w:sz w:val="16"/>
      <w:lang w:val="es-ES_tradnl"/>
    </w:rPr>
  </w:style>
  <w:style w:type="paragraph" w:styleId="Encabezado">
    <w:name w:val="header"/>
    <w:basedOn w:val="Normal"/>
    <w:link w:val="EncabezadoCar"/>
    <w:rsid w:val="00AE1B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1BAA"/>
    <w:rPr>
      <w:rFonts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rsid w:val="00AE1B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E1BAA"/>
    <w:rPr>
      <w:rFonts w:cs="Times New Roman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1B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99"/>
    <w:rsid w:val="00AC021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rsid w:val="00AC021B"/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AC021B"/>
    <w:rPr>
      <w:rFonts w:cs="Times New Roman"/>
    </w:rPr>
  </w:style>
  <w:style w:type="character" w:styleId="Refdenotaalpie">
    <w:name w:val="footnote reference"/>
    <w:basedOn w:val="Fuentedeprrafopredeter"/>
    <w:uiPriority w:val="99"/>
    <w:rsid w:val="00AC021B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6905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96320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96320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96320D"/>
    <w:rPr>
      <w:rFonts w:cs="Times New Roman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96320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6320D"/>
    <w:rPr>
      <w:rFonts w:cs="Times New Roman"/>
      <w:b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96320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96320D"/>
    <w:rPr>
      <w:rFonts w:ascii="Tahoma" w:hAnsi="Tahoma" w:cs="Times New Roman"/>
      <w:sz w:val="16"/>
      <w:lang w:val="es-ES_tradnl"/>
    </w:rPr>
  </w:style>
  <w:style w:type="paragraph" w:styleId="Encabezado">
    <w:name w:val="header"/>
    <w:basedOn w:val="Normal"/>
    <w:link w:val="EncabezadoCar"/>
    <w:rsid w:val="00AE1BA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E1BAA"/>
    <w:rPr>
      <w:rFonts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semiHidden/>
    <w:rsid w:val="00AE1BA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E1BAA"/>
    <w:rPr>
      <w:rFonts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VIII</vt:lpstr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VIII</dc:title>
  <dc:creator>Daniel Daniel</dc:creator>
  <cp:lastModifiedBy>ALVARO VILLANUEVA</cp:lastModifiedBy>
  <cp:revision>3</cp:revision>
  <dcterms:created xsi:type="dcterms:W3CDTF">2014-10-12T18:44:00Z</dcterms:created>
  <dcterms:modified xsi:type="dcterms:W3CDTF">2015-01-22T12:16:00Z</dcterms:modified>
</cp:coreProperties>
</file>